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5102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- PORTARIA DE INSTAURAÇÃO DE PROCEDIMENTO ADMINISTRATIVO PARA ACOMPANHAMENTO E FISCALIZAÇÃO DE ENTIDADE DE ACOLHIMENTO</w:t>
      </w:r>
    </w:p>
    <w:p w:rsidR="00000000" w:rsidDel="00000000" w:rsidP="00000000" w:rsidRDefault="00000000" w:rsidRPr="00000000" w14:paraId="00000003">
      <w:pPr>
        <w:ind w:left="5102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PORTARIA DE INSTAURAÇÃO </w:t>
      </w:r>
    </w:p>
    <w:p w:rsidR="00000000" w:rsidDel="00000000" w:rsidP="00000000" w:rsidRDefault="00000000" w:rsidRPr="00000000" w14:paraId="00000006">
      <w:pPr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O MINISTÉRIO PÚBLICO DE PERNAMBUCO, </w:t>
      </w:r>
      <w:r w:rsidDel="00000000" w:rsidR="00000000" w:rsidRPr="00000000">
        <w:rPr>
          <w:rtl w:val="0"/>
        </w:rPr>
        <w:t xml:space="preserve">por seu/sua Promotor/a de Justiça signatário/a, no uso de suas atribuições, com fulcro nos artigos 127, caput, 129, inciso III, da CF/88, na Lei nº 7.347/85, 25, na Lei nº 8.625/93, na L.C nº 12/94, na Resolução RES-CSMP nº 003/2019, no Decreto Lei nº 41/66 e na Lei nº 8069/90, instaura o presente Procedimento Administrativo de acompanhamento de instituições com o fim de investigar o presente: </w:t>
      </w:r>
    </w:p>
    <w:p w:rsidR="00000000" w:rsidDel="00000000" w:rsidP="00000000" w:rsidRDefault="00000000" w:rsidRPr="00000000" w14:paraId="00000008">
      <w:pPr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jc w:val="both"/>
        <w:rPr>
          <w:i w:val="1"/>
        </w:rPr>
      </w:pPr>
      <w:r w:rsidDel="00000000" w:rsidR="00000000" w:rsidRPr="00000000">
        <w:rPr>
          <w:b w:val="1"/>
          <w:rtl w:val="0"/>
        </w:rPr>
        <w:t xml:space="preserve">OBJETO: </w:t>
      </w:r>
      <w:r w:rsidDel="00000000" w:rsidR="00000000" w:rsidRPr="00000000">
        <w:rPr>
          <w:rtl w:val="0"/>
        </w:rPr>
        <w:t xml:space="preserve">Acompanhamento e Fiscalização Contínua da </w:t>
      </w:r>
      <w:r w:rsidDel="00000000" w:rsidR="00000000" w:rsidRPr="00000000">
        <w:rPr>
          <w:i w:val="1"/>
          <w:rtl w:val="0"/>
        </w:rPr>
        <w:t xml:space="preserve">ENTIDADE DE ACOLHIMENTO</w:t>
      </w:r>
      <w:r w:rsidDel="00000000" w:rsidR="00000000" w:rsidRPr="00000000">
        <w:rPr>
          <w:rtl w:val="0"/>
        </w:rPr>
        <w:t xml:space="preserve">  - biênio </w:t>
      </w:r>
      <w:r w:rsidDel="00000000" w:rsidR="00000000" w:rsidRPr="00000000">
        <w:rPr>
          <w:i w:val="1"/>
          <w:rtl w:val="0"/>
        </w:rPr>
        <w:t xml:space="preserve">20XX-20XX .</w:t>
      </w:r>
    </w:p>
    <w:p w:rsidR="00000000" w:rsidDel="00000000" w:rsidP="00000000" w:rsidRDefault="00000000" w:rsidRPr="00000000" w14:paraId="0000000A">
      <w:pPr>
        <w:ind w:left="0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CONSIDERANDO </w:t>
      </w:r>
      <w:r w:rsidDel="00000000" w:rsidR="00000000" w:rsidRPr="00000000">
        <w:rPr>
          <w:rtl w:val="0"/>
        </w:rPr>
        <w:t xml:space="preserve">que a Constituição Federal de 1988 e a legislação infraconstitucional atribuem ao MINISTÉRIO PÚBLICO a defesa da ordem jurídica, do regime democrático e dos interesses sociais e individuais indisponíveis, bem como o dever de zelar pelo efetivo respeito aos interesses e direitos das crianças e dos adolescentes, promovendo as medidas necessárias para sua garantia e proteção;</w:t>
      </w:r>
    </w:p>
    <w:p w:rsidR="00000000" w:rsidDel="00000000" w:rsidP="00000000" w:rsidRDefault="00000000" w:rsidRPr="00000000" w14:paraId="0000000C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CONSIDERANDO </w:t>
      </w:r>
      <w:r w:rsidDel="00000000" w:rsidR="00000000" w:rsidRPr="00000000">
        <w:rPr>
          <w:rtl w:val="0"/>
        </w:rPr>
        <w:t xml:space="preserve">que o art. 95 do ECA prevê que "as entidades governamentais e não-governamentais referidas no art. 90 serão fiscalizadas pelo Judiciário, pelo Ministério Público e pelos Conselhos Tutelares"; </w:t>
      </w:r>
    </w:p>
    <w:p w:rsidR="00000000" w:rsidDel="00000000" w:rsidP="00000000" w:rsidRDefault="00000000" w:rsidRPr="00000000" w14:paraId="0000000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b w:val="1"/>
          <w:rtl w:val="0"/>
        </w:rPr>
        <w:t xml:space="preserve">CONSIDERANDO </w:t>
      </w:r>
      <w:r w:rsidDel="00000000" w:rsidR="00000000" w:rsidRPr="00000000">
        <w:rPr>
          <w:rtl w:val="0"/>
        </w:rPr>
        <w:t xml:space="preserve">que no, âmbito do Sistema Único de Assistência Social, o acolhimento institucional é qualificado como serviço de proteção social especial de alta complexidade, razão pela qual sua execução deve observar as diretrizes da Política Nacional de Assistência Social e as Normas Básicas do Sistema Único de Assistência Social - NOB/SUAS e NOB-RH/SUAS, complementadas pelo disposto na Resolução CNAS n.º109/2009, que estabelecem padrões e requisitos mínimos a serem observados na organização do serviço em apreço; </w:t>
      </w:r>
    </w:p>
    <w:p w:rsidR="00000000" w:rsidDel="00000000" w:rsidP="00000000" w:rsidRDefault="00000000" w:rsidRPr="00000000" w14:paraId="00000010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CONSIDERANDO </w:t>
      </w:r>
      <w:r w:rsidDel="00000000" w:rsidR="00000000" w:rsidRPr="00000000">
        <w:rPr>
          <w:rtl w:val="0"/>
        </w:rPr>
        <w:t xml:space="preserve">que as condições de infraestrutura e segurança das instalações físicas da instituição também serão objeto de fiscalização, observando os termos das “Orientações Técnicas: Serviços de Acolhimento para Crianças e Adolescentes”, aprovado pela Resolução Conjunta CONANDA/CNAS, n.º 001/2008; </w:t>
      </w:r>
    </w:p>
    <w:p w:rsidR="00000000" w:rsidDel="00000000" w:rsidP="00000000" w:rsidRDefault="00000000" w:rsidRPr="00000000" w14:paraId="00000012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CONSIDERANDO</w:t>
      </w:r>
      <w:r w:rsidDel="00000000" w:rsidR="00000000" w:rsidRPr="00000000">
        <w:rPr>
          <w:rtl w:val="0"/>
        </w:rPr>
        <w:t xml:space="preserve"> que a municipalização do atendimento prestado à criança e ao adolescente se constitui na diretriz primeira da política de atendimento idealizada pela Lei nº 8.069/90 (conforme dispõe o art. 88, inciso I, do citado Diploma Legal),</w:t>
      </w:r>
    </w:p>
    <w:p w:rsidR="00000000" w:rsidDel="00000000" w:rsidP="00000000" w:rsidRDefault="00000000" w:rsidRPr="00000000" w14:paraId="00000014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CONSIDERANDO</w:t>
      </w:r>
      <w:r w:rsidDel="00000000" w:rsidR="00000000" w:rsidRPr="00000000">
        <w:rPr>
          <w:rtl w:val="0"/>
        </w:rPr>
        <w:t xml:space="preserve">, por fim, que a </w:t>
      </w:r>
      <w:r w:rsidDel="00000000" w:rsidR="00000000" w:rsidRPr="00000000">
        <w:rPr>
          <w:i w:val="1"/>
          <w:rtl w:val="0"/>
        </w:rPr>
        <w:t xml:space="preserve">ENTIDADE XXX </w:t>
      </w:r>
      <w:r w:rsidDel="00000000" w:rsidR="00000000" w:rsidRPr="00000000">
        <w:rPr>
          <w:rtl w:val="0"/>
        </w:rPr>
        <w:t xml:space="preserve">é entidade/serviço que atende crianças e adolescentes no Município de XXXXXXXXXXXXXXXX para execução da medida de proteção de acolhimento institucional, conforme arts. 90 a 94 do ECA, havendo necessidade de fiscalização e acompanhamento contínuo, em cotejo com os preceitos da legislação de proteção a crianças e adolescentes e orientações técnicas pertinentes ao serviço;</w:t>
      </w:r>
    </w:p>
    <w:p w:rsidR="00000000" w:rsidDel="00000000" w:rsidP="00000000" w:rsidRDefault="00000000" w:rsidRPr="00000000" w14:paraId="00000016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Resolve, assim, promover as diligências indispensáveis à instrução do feito, determinando, desde logo, a adoção das seguintes providências:</w:t>
      </w:r>
    </w:p>
    <w:p w:rsidR="00000000" w:rsidDel="00000000" w:rsidP="00000000" w:rsidRDefault="00000000" w:rsidRPr="00000000" w14:paraId="00000018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1) a remessa de cópia desta portaria, por meio eletrônico, ao CAO Infância e Juventude, para conhecimento;</w:t>
      </w:r>
    </w:p>
    <w:p w:rsidR="00000000" w:rsidDel="00000000" w:rsidP="00000000" w:rsidRDefault="00000000" w:rsidRPr="00000000" w14:paraId="0000001A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2) à Secretaria da PJ, para que providencie a juntada aos autos dos mais recentes relatórios de inspeção da ENTIDADE XXX, elaborados por esta Promotoria de Justiça e pela equipe técnica do MPPE;</w:t>
      </w:r>
    </w:p>
    <w:p w:rsidR="00000000" w:rsidDel="00000000" w:rsidP="00000000" w:rsidRDefault="00000000" w:rsidRPr="00000000" w14:paraId="0000001C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3) </w:t>
      </w:r>
      <w:r w:rsidDel="00000000" w:rsidR="00000000" w:rsidRPr="00000000">
        <w:rPr>
          <w:i w:val="1"/>
          <w:rtl w:val="0"/>
        </w:rPr>
        <w:t xml:space="preserve">(Em se tratando de entidade governamental</w:t>
      </w:r>
      <w:r w:rsidDel="00000000" w:rsidR="00000000" w:rsidRPr="00000000">
        <w:rPr>
          <w:rtl w:val="0"/>
        </w:rPr>
        <w:t xml:space="preserve">) Oficie-se à SDSDH </w:t>
      </w:r>
      <w:r w:rsidDel="00000000" w:rsidR="00000000" w:rsidRPr="00000000">
        <w:rPr>
          <w:i w:val="1"/>
          <w:rtl w:val="0"/>
        </w:rPr>
        <w:t xml:space="preserve">(a adaptar, se necessário</w:t>
      </w:r>
      <w:r w:rsidDel="00000000" w:rsidR="00000000" w:rsidRPr="00000000">
        <w:rPr>
          <w:rtl w:val="0"/>
        </w:rPr>
        <w:t xml:space="preserve">), solicitando o envio do plano político pedagógico da entidade e, solicite ao Poder Executivo Municipal e a Coordenação da Entidade, que envie a esta Promotoria de Justiça os registros e laudos  de regularidade junto ao Corpo de Bombeiros e Vigilância Sanitária; </w:t>
      </w:r>
    </w:p>
    <w:p w:rsidR="00000000" w:rsidDel="00000000" w:rsidP="00000000" w:rsidRDefault="00000000" w:rsidRPr="00000000" w14:paraId="0000001E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4) </w:t>
      </w:r>
      <w:r w:rsidDel="00000000" w:rsidR="00000000" w:rsidRPr="00000000">
        <w:rPr>
          <w:i w:val="1"/>
          <w:rtl w:val="0"/>
        </w:rPr>
        <w:t xml:space="preserve">(Em se tratando de entidade não governamental)</w:t>
      </w:r>
      <w:r w:rsidDel="00000000" w:rsidR="00000000" w:rsidRPr="00000000">
        <w:rPr>
          <w:rtl w:val="0"/>
        </w:rPr>
        <w:t xml:space="preserve"> solicite-se à  a coordenação da entidade que envie a esta Promotoria de Justiça o n.º de registro no CMDCA (Conselho Municipal);</w:t>
      </w:r>
    </w:p>
    <w:p w:rsidR="00000000" w:rsidDel="00000000" w:rsidP="00000000" w:rsidRDefault="00000000" w:rsidRPr="00000000" w14:paraId="00000020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5)  Agende-se com a equipe técnica do MPPE a realização da próxima inspeção periódica.</w:t>
      </w:r>
    </w:p>
    <w:p w:rsidR="00000000" w:rsidDel="00000000" w:rsidP="00000000" w:rsidRDefault="00000000" w:rsidRPr="00000000" w14:paraId="00000022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Local, data.</w:t>
      </w:r>
    </w:p>
    <w:p w:rsidR="00000000" w:rsidDel="00000000" w:rsidP="00000000" w:rsidRDefault="00000000" w:rsidRPr="00000000" w14:paraId="00000025">
      <w:pPr>
        <w:ind w:lef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jc w:val="center"/>
        <w:rPr/>
      </w:pPr>
      <w:r w:rsidDel="00000000" w:rsidR="00000000" w:rsidRPr="00000000">
        <w:rPr>
          <w:rtl w:val="0"/>
        </w:rPr>
        <w:t xml:space="preserve">Assinatura. </w:t>
      </w:r>
    </w:p>
    <w:p w:rsidR="00000000" w:rsidDel="00000000" w:rsidP="00000000" w:rsidRDefault="00000000" w:rsidRPr="00000000" w14:paraId="00000027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center"/>
      <w:rPr/>
    </w:pPr>
    <w:r w:rsidDel="00000000" w:rsidR="00000000" w:rsidRPr="00000000">
      <w:rPr/>
      <w:drawing>
        <wp:inline distB="0" distT="0" distL="0" distR="0">
          <wp:extent cx="837565" cy="83693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62" l="-62" r="-62" t="-62"/>
                  <a:stretch>
                    <a:fillRect/>
                  </a:stretch>
                </pic:blipFill>
                <pic:spPr>
                  <a:xfrm>
                    <a:off x="0" y="0"/>
                    <a:ext cx="837565" cy="8369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jc w:val="center"/>
      <w:rPr>
        <w:b w:val="1"/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MINISTÉRIO PÚBLICO DO ESTADO DE PERNAMBUCO</w:t>
    </w:r>
  </w:p>
  <w:p w:rsidR="00000000" w:rsidDel="00000000" w:rsidP="00000000" w:rsidRDefault="00000000" w:rsidRPr="00000000" w14:paraId="0000002F">
    <w:pPr>
      <w:jc w:val="center"/>
      <w:rPr>
        <w:b w:val="1"/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Centro de Apoio Operacional de Defesa da Infância e Juventude - CAO-IJ</w:t>
    </w:r>
  </w:p>
  <w:p w:rsidR="00000000" w:rsidDel="00000000" w:rsidP="00000000" w:rsidRDefault="00000000" w:rsidRPr="00000000" w14:paraId="00000030">
    <w:pPr>
      <w:jc w:val="center"/>
      <w:rPr>
        <w:b w:val="1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="24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="24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="24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="240" w:lineRule="auto"/>
    </w:pPr>
    <w:rPr>
      <w:sz w:val="52"/>
      <w:szCs w:val="52"/>
    </w:rPr>
  </w:style>
  <w:style w:type="paragraph" w:styleId="Normal">
    <w:name w:val="Normal"/>
    <w:qFormat w:val="1"/>
    <w:pPr>
      <w:widowControl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hi-IN" w:eastAsia="zh-CN" w:val="en-US"/>
    </w:rPr>
  </w:style>
  <w:style w:type="paragraph" w:styleId="Ttulo1">
    <w:name w:val="Heading 1"/>
    <w:basedOn w:val="Normal1"/>
    <w:next w:val="Normal1"/>
    <w:qFormat w:val="1"/>
    <w:pPr>
      <w:keepNext w:val="1"/>
      <w:keepLines w:val="1"/>
      <w:pageBreakBefore w:val="0"/>
      <w:spacing w:after="120" w:before="400" w:line="240" w:lineRule="auto"/>
    </w:pPr>
    <w:rPr>
      <w:sz w:val="40"/>
      <w:szCs w:val="40"/>
    </w:rPr>
  </w:style>
  <w:style w:type="paragraph" w:styleId="Ttulo2">
    <w:name w:val="Heading 2"/>
    <w:basedOn w:val="Normal1"/>
    <w:next w:val="Normal1"/>
    <w:qFormat w:val="1"/>
    <w:pPr>
      <w:keepNext w:val="1"/>
      <w:keepLines w:val="1"/>
      <w:pageBreakBefore w:val="0"/>
      <w:spacing w:after="120" w:before="360" w:line="240" w:lineRule="auto"/>
    </w:pPr>
    <w:rPr>
      <w:b w:val="0"/>
      <w:sz w:val="32"/>
      <w:szCs w:val="32"/>
    </w:rPr>
  </w:style>
  <w:style w:type="paragraph" w:styleId="Ttulo3">
    <w:name w:val="Heading 3"/>
    <w:basedOn w:val="Normal1"/>
    <w:next w:val="Normal1"/>
    <w:qFormat w:val="1"/>
    <w:pPr>
      <w:keepNext w:val="1"/>
      <w:keepLines w:val="1"/>
      <w:pageBreakBefore w:val="0"/>
      <w:spacing w:after="80" w:before="320" w:line="240" w:lineRule="auto"/>
    </w:pPr>
    <w:rPr>
      <w:b w:val="0"/>
      <w:color w:val="434343"/>
      <w:sz w:val="28"/>
      <w:szCs w:val="28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80" w:before="280" w:line="240" w:lineRule="auto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80" w:before="240" w:line="240" w:lineRule="auto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 w:val="1"/>
    <w:pPr>
      <w:keepNext w:val="1"/>
      <w:keepLines w:val="1"/>
      <w:pageBreakBefore w:val="0"/>
      <w:spacing w:after="80" w:before="240" w:line="240" w:lineRule="auto"/>
    </w:pPr>
    <w:rPr>
      <w:i w:val="1"/>
      <w:color w:val="666666"/>
      <w:sz w:val="22"/>
      <w:szCs w:val="22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Spranq eco sans" w:cs="Arial" w:eastAsia="Microsoft YaHei" w:hAnsi="Spranq eco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ascii="Spranq eco sans" w:cs="Arial" w:hAnsi="Spranq eco 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ascii="Spranq eco sans" w:cs="Arial" w:hAnsi="Spranq eco 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ascii="Spranq eco sans" w:cs="Arial" w:hAnsi="Spranq eco sans"/>
      <w:lang w:bidi="zxx" w:eastAsia="zxx" w:val="zxx"/>
    </w:rPr>
  </w:style>
  <w:style w:type="paragraph" w:styleId="Normal1" w:default="1">
    <w:name w:val="LO-normal"/>
    <w:qFormat w:val="1"/>
    <w:pPr>
      <w:widowControl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hi-IN" w:eastAsia="zh-CN" w:val="en-US"/>
    </w:rPr>
  </w:style>
  <w:style w:type="paragraph" w:styleId="Ttulododocumento">
    <w:name w:val="Title"/>
    <w:basedOn w:val="Normal1"/>
    <w:next w:val="Normal1"/>
    <w:qFormat w:val="1"/>
    <w:pPr>
      <w:keepNext w:val="1"/>
      <w:keepLines w:val="1"/>
      <w:pageBreakBefore w:val="0"/>
      <w:spacing w:after="60" w:before="0" w:line="240" w:lineRule="auto"/>
    </w:pPr>
    <w:rPr>
      <w:sz w:val="52"/>
      <w:szCs w:val="52"/>
    </w:rPr>
  </w:style>
  <w:style w:type="paragraph" w:styleId="Subttulo">
    <w:name w:val="Subtitle"/>
    <w:basedOn w:val="Normal1"/>
    <w:next w:val="Normal1"/>
    <w:qFormat w:val="1"/>
    <w:pPr>
      <w:keepNext w:val="1"/>
      <w:keepLines w:val="1"/>
      <w:pageBreakBefore w:val="0"/>
      <w:spacing w:after="320" w:before="0" w:line="24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="24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S++wiFRuAPugECwkzj3MbfgK4A==">CgMxLjA4AHIhMS1JN0NlS3N6Slp6emdHc3VWSjAwYzIxd0g1eTlnSzNj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